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1A2A4A" w:val="clear"/>
        <w:spacing w:after="0" w:before="0"/>
        <w:ind w:left="200" w:right="200"/>
      </w:pPr>
      <w:r>
        <w:rPr>
          <w:rFonts w:ascii="Playfair Display" w:cs="Playfair Display" w:eastAsia="Playfair Display" w:hAnsi="Playfair Display"/>
          <w:b/>
          <w:bCs/>
          <w:color w:val="FFFFFF"/>
          <w:sz w:val="24"/>
          <w:szCs w:val="24"/>
        </w:rPr>
        <w:t xml:space="preserve">MIDQAR FOUNDATION  ·  PRIVATE ESTATE OPERATIONS</w:t>
      </w:r>
    </w:p>
    <w:p>
      <w:pPr>
        <w:shd w:fill="1A2A4A" w:val="clear"/>
        <w:spacing w:after="0" w:before="0"/>
        <w:ind w:left="200" w:right="200"/>
      </w:pPr>
      <w:r>
        <w:rPr>
          <w:rFonts w:ascii="Playfair Display" w:cs="Playfair Display" w:eastAsia="Playfair Display" w:hAnsi="Playfair Display"/>
          <w:b/>
          <w:bCs/>
          <w:color w:val="FFFFFF"/>
          <w:sz w:val="30"/>
          <w:szCs w:val="30"/>
        </w:rPr>
        <w:t xml:space="preserve">MOD-12  ·  SOP · Protocolos Infancia y Cuidado de Menores</w:t>
      </w:r>
    </w:p>
    <w:p>
      <w:pPr>
        <w:spacing w:after="0" w:before="2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CÓDIGO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MOD-12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MÓDULO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SOP · Protocolos Infancia y Cuidado de Menores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ÁREA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Familia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PRIORIDAD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Crítica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FRECUENCIA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B71C1C"/>
                <w:sz w:val="20"/>
                <w:szCs w:val="20"/>
              </w:rPr>
              <w:t xml:space="preserve">Puntual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DESCRIPCIÓN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Cada estancia con menores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VERSIÓN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v 2.0 · 09 de mayo de 2026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ESTÁNDAR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5★ Leading Private Residences</w:t>
            </w:r>
          </w:p>
        </w:tc>
      </w:tr>
    </w:tbl>
    <w:p>
      <w:pPr>
        <w:spacing w:after="0" w:before="300"/>
      </w:pPr>
      <w:r>
        <w:t xml:space="preserve"/>
      </w:r>
    </w:p>
    <w:p>
      <w:pPr>
        <w:pBdr>
          <w:bottom w:val="single" w:color="8B7340" w:sz="4"/>
        </w:pBdr>
        <w:shd w:fill="1A2A4A" w:val="clear"/>
        <w:spacing w:after="100" w:before="3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1. OBJETIVO</w:t>
      </w:r>
    </w:p>
    <w:p>
      <w:pPr>
        <w:spacing w:after="120" w:before="120"/>
        <w:ind w:left="200"/>
      </w:pPr>
      <w:r>
        <w:rPr>
          <w:rFonts w:ascii="Arial" w:cs="Arial" w:eastAsia="Arial" w:hAnsi="Arial"/>
          <w:color w:val="2C2416"/>
          <w:sz w:val="20"/>
          <w:szCs w:val="20"/>
        </w:rPr>
        <w:t xml:space="preserve">Garantizar la seguridad absoluta y el bienestar de los menores durante su estancia en la propiedad.</w:t>
      </w:r>
    </w:p>
    <w:p>
      <w:pPr>
        <w:pBdr>
          <w:bottom w:val="single" w:color="8B7340" w:sz="4"/>
        </w:pBdr>
        <w:shd w:fill="1A2A4A" w:val="clear"/>
        <w:spacing w:after="100" w:before="3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2. RESPONSABLES Y REPORTING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2C2416"/>
          <w:sz w:val="20"/>
          <w:szCs w:val="20"/>
        </w:rPr>
        <w:t xml:space="preserve">Estate Manager — Coordinación de protocolos de seguridad infantil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2C2416"/>
          <w:sz w:val="20"/>
          <w:szCs w:val="20"/>
        </w:rPr>
        <w:t xml:space="preserve">Todo el equipo — Aplicación de protocolos de seguridad</w:t>
      </w:r>
    </w:p>
    <w:p>
      <w:pPr>
        <w:spacing w:after="0" w:before="200"/>
      </w:pPr>
      <w:r>
        <w:t xml:space="preserve"/>
      </w:r>
    </w:p>
    <w:p>
      <w:pPr>
        <w:pBdr>
          <w:bottom w:val="single" w:color="8B7340" w:sz="4"/>
        </w:pBdr>
        <w:shd w:fill="1A2A4A" w:val="clear"/>
        <w:spacing w:after="100" w:before="3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3. CHECKLIST DE TAREAS  ·  FRECUENCIA: PUNTUAL</w:t>
      </w:r>
    </w:p>
    <w:p>
      <w:pPr>
        <w:spacing w:after="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7560"/>
        <w:gridCol w:w="1200"/>
      </w:tblGrid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Tarea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OK / Foto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01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PUNTUAL cada estancia con menores: Revisión de zonas de riesgo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02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PUNTUAL: Instalación de protecciones en piscinas y escaleras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03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PUNTUAL: Briefing del equipo sobre edades y necesidades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04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PUNTUAL: Verificación de menú sin alérgenos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05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PUNTUAL: Activación de contactos de emergencia pediátrica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</w:tbl>
    <w:p>
      <w:pPr>
        <w:spacing w:after="0" w:before="300"/>
      </w:pPr>
      <w:r>
        <w:t xml:space="preserve"/>
      </w:r>
    </w:p>
    <w:p>
      <w:pPr>
        <w:pBdr>
          <w:bottom w:val="single" w:color="8B7340" w:sz="4"/>
        </w:pBdr>
        <w:shd w:fill="1A2A4A" w:val="clear"/>
        <w:spacing w:after="100" w:before="3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4. REGISTROS ASOCIADOS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2C2416"/>
          <w:sz w:val="20"/>
          <w:szCs w:val="20"/>
        </w:rPr>
        <w:t xml:space="preserve">REG-FAM-05 al REG-FAM-07 — Registros de protocolos infantiles</w:t>
      </w:r>
    </w:p>
    <w:p>
      <w:pPr>
        <w:spacing w:after="0" w:before="300"/>
      </w:pPr>
      <w:r>
        <w:t xml:space="preserve"/>
      </w:r>
    </w:p>
    <w:p>
      <w:pPr>
        <w:pBdr>
          <w:bottom w:val="single" w:color="8B7340" w:sz="4"/>
        </w:pBdr>
        <w:shd w:fill="1A2A4A" w:val="clear"/>
        <w:spacing w:after="100" w:before="3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5. CONTROL DE CAMBIOS</w:t>
      </w:r>
    </w:p>
    <w:p>
      <w:pPr>
        <w:spacing w:after="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1800"/>
        <w:gridCol w:w="1800"/>
        <w:gridCol w:w="4360"/>
      </w:tblGrid>
      <w:tr>
        <w:tc>
          <w:tcPr>
            <w:tcW w:type="dxa" w:w="14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Versión</w:t>
            </w:r>
          </w:p>
        </w:tc>
        <w:tc>
          <w:tcPr>
            <w:tcW w:type="dxa" w:w="18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Fecha</w:t>
            </w:r>
          </w:p>
        </w:tc>
        <w:tc>
          <w:tcPr>
            <w:tcW w:type="dxa" w:w="18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Autor</w:t>
            </w:r>
          </w:p>
        </w:tc>
        <w:tc>
          <w:tcPr>
            <w:tcW w:type="dxa" w:w="43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Descripción del cambio</w:t>
            </w:r>
          </w:p>
        </w:tc>
      </w:tr>
      <w:tr>
        <w:tc>
          <w:tcPr>
            <w:tcW w:type="dxa" w:w="14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v 1.0</w:t>
            </w:r>
          </w:p>
        </w:tc>
        <w:tc>
          <w:tcPr>
            <w:tcW w:type="dxa" w:w="18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8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Midqar Foundation</w:t>
            </w:r>
          </w:p>
        </w:tc>
        <w:tc>
          <w:tcPr>
            <w:tcW w:type="dxa" w:w="43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Versión inicial</w:t>
            </w:r>
          </w:p>
        </w:tc>
      </w:tr>
      <w:tr>
        <w:tc>
          <w:tcPr>
            <w:tcW w:type="dxa" w:w="14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v 2.0</w:t>
            </w:r>
          </w:p>
        </w:tc>
        <w:tc>
          <w:tcPr>
            <w:tcW w:type="dxa" w:w="18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09 de mayo de 2026</w:t>
            </w:r>
          </w:p>
        </w:tc>
        <w:tc>
          <w:tcPr>
            <w:tcW w:type="dxa" w:w="18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Midqar Foundation</w:t>
            </w:r>
          </w:p>
        </w:tc>
        <w:tc>
          <w:tcPr>
            <w:tcW w:type="dxa" w:w="43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Añadida frecuencia de checklist · Columna foto justificativa · Integración app Midqar Platform</w:t>
            </w:r>
          </w:p>
        </w:tc>
      </w:tr>
    </w:tbl>
    <w:p>
      <w:pPr>
        <w:spacing w:after="0" w:before="400"/>
      </w:pPr>
      <w:r>
        <w:t xml:space="preserve"/>
      </w:r>
    </w:p>
    <w:p>
      <w:pPr>
        <w:pBdr>
          <w:top w:val="single" w:color="8B7340" w:sz="2"/>
        </w:pBdr>
        <w:spacing w:before="120"/>
        <w:jc w:val="center"/>
      </w:pPr>
      <w:r>
        <w:rPr>
          <w:rFonts w:ascii="Arial" w:cs="Arial" w:eastAsia="Arial" w:hAnsi="Arial"/>
          <w:i/>
          <w:iCs/>
          <w:color w:val="8B7340"/>
          <w:sz w:val="16"/>
          <w:szCs w:val="16"/>
        </w:rPr>
        <w:t xml:space="preserve">MIDQAR FOUNDATION  ·  MOD-12  ·  v 2.0  ·  Estándar 5★  ·  CONFIDENCIAL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0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2026-05-09T22:12:53.777Z</dcterms:created>
  <dcterms:modified xsi:type="dcterms:W3CDTF">2026-05-09T22:12:53.777Z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